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1606" w:firstLineChars="500"/>
        <w:rPr>
          <w:rFonts w:hint="default"/>
          <w:sz w:val="21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江苏食品药品职业技术学院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北门外侧人行横道升降柱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竞争性谈判报价表</w:t>
      </w:r>
    </w:p>
    <w:p>
      <w:pPr>
        <w:spacing w:beforeLines="0" w:afterLines="0"/>
        <w:rPr>
          <w:rFonts w:hint="default"/>
          <w:sz w:val="21"/>
          <w:szCs w:val="24"/>
        </w:rPr>
      </w:pPr>
    </w:p>
    <w:tbl>
      <w:tblPr>
        <w:tblStyle w:val="2"/>
        <w:tblW w:w="144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31"/>
        <w:gridCol w:w="2063"/>
        <w:gridCol w:w="3705"/>
        <w:gridCol w:w="6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单位和数量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升降柱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304不锈钢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4根</w:t>
            </w:r>
          </w:p>
        </w:tc>
        <w:tc>
          <w:tcPr>
            <w:tcW w:w="6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Lines="0" w:afterLines="0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本项目最高限价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0万元，超过无效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本项目为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固定总价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施工内容：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我校对面左侧人行横道隔离桩改成升降柱，</w:t>
            </w:r>
            <w:r>
              <w:rPr>
                <w:rFonts w:hint="eastAsia"/>
              </w:rPr>
              <w:t>路面切割综合布线100米及复原，渣土清运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降尘，系统排水。安全</w:t>
            </w:r>
            <w:r>
              <w:rPr>
                <w:rFonts w:hint="eastAsia"/>
                <w:lang w:val="en-US" w:eastAsia="zh-CN"/>
              </w:rPr>
              <w:t>需做</w:t>
            </w:r>
            <w:r>
              <w:rPr>
                <w:rFonts w:hint="eastAsia"/>
              </w:rPr>
              <w:t>：醒目隔离，车道关闭，按规定设置道路隔离设施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施工现场需做</w:t>
            </w:r>
            <w:r>
              <w:rPr>
                <w:rFonts w:hint="eastAsia"/>
              </w:rPr>
              <w:t>围挡。</w:t>
            </w:r>
          </w:p>
          <w:p>
            <w:pPr>
              <w:widowControl/>
              <w:numPr>
                <w:numId w:val="0"/>
              </w:numPr>
              <w:spacing w:beforeLines="0" w:afterLines="0"/>
              <w:ind w:leftChars="0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3.其它要求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柱体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要求：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直径21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cm,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柱体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高度：86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柱体升起高度：60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面板厚度</w:t>
            </w:r>
            <w: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t>8</w:t>
            </w:r>
            <w:r>
              <w:rPr>
                <w:rFonts w:hint="eastAsia"/>
                <w:lang w:val="en-US" w:eastAsia="zh-CN"/>
              </w:rPr>
              <w:t>c</w:t>
            </w:r>
            <w:r>
              <w:t>m</w:t>
            </w:r>
            <w:r>
              <w:rPr>
                <w:rFonts w:hint="eastAsia"/>
                <w:lang w:eastAsia="zh-CN"/>
              </w:rPr>
              <w:t>，</w:t>
            </w:r>
            <w:r>
              <w:t>驱动方式：内置液压驱动</w:t>
            </w:r>
            <w:r>
              <w:rPr>
                <w:rFonts w:hint="eastAsia"/>
                <w:lang w:val="en-US" w:eastAsia="zh-CN"/>
              </w:rPr>
              <w:t>,</w:t>
            </w:r>
            <w:r>
              <w:t>驱动电源：AC220V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t>.</w:t>
            </w:r>
            <w:r>
              <w:rPr>
                <w:rFonts w:hint="eastAsia"/>
                <w:lang w:val="en-US" w:eastAsia="zh-CN"/>
              </w:rPr>
              <w:t>功能要求：</w:t>
            </w:r>
            <w:r>
              <w:t>控制电压12V</w:t>
            </w:r>
            <w:r>
              <w:rPr>
                <w:rFonts w:hint="eastAsia"/>
                <w:lang w:eastAsia="zh-CN"/>
              </w:rPr>
              <w:t>，</w:t>
            </w:r>
            <w:r>
              <w:t>有应急蓄电池，停电后可供柱体下降一次</w:t>
            </w:r>
            <w:r>
              <w:rPr>
                <w:rFonts w:hint="eastAsia"/>
                <w:lang w:eastAsia="zh-CN"/>
              </w:rPr>
              <w:t>，</w:t>
            </w:r>
            <w:r>
              <w:t>遥控器标配2个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default" w:ascii="宋体" w:hAnsi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报价包含主设备采购、配套软、硬件及相关设施恢复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施工、辅材、人员工资、</w:t>
            </w:r>
            <w:r>
              <w:rPr>
                <w:rFonts w:hint="eastAsia"/>
              </w:rPr>
              <w:t>相关的手续办理</w:t>
            </w:r>
            <w:r>
              <w:rPr>
                <w:rFonts w:hint="eastAsia"/>
                <w:lang w:val="en-US" w:eastAsia="zh-CN"/>
              </w:rPr>
              <w:t>及和校外相关部门协调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卫生防疫、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安全施工、文明施工、运输、装卸、安装、调试、税费等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所有费用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</w:t>
            </w:r>
          </w:p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.投标保证金：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仟元整（现金带至谈判现场），中标人现金交至财务处直接转为履约保证金，待质保结束后一次性退还，质保期为一年。</w:t>
            </w:r>
          </w:p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.设备故障的报价人必须40分钟，两小时内恢复设备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.谈判时间、地点：2022年5月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0分，北大门西侧临时会客区。</w:t>
            </w:r>
          </w:p>
          <w:p>
            <w:pPr>
              <w:widowControl/>
              <w:spacing w:beforeLines="0" w:afterLines="0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.二次报价最低作为潜在中标人。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一次报价（大写）：</w:t>
            </w:r>
          </w:p>
        </w:tc>
        <w:tc>
          <w:tcPr>
            <w:tcW w:w="57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beforeLines="0" w:afterLines="0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二次报价（大写）：                                            ¥：</w:t>
      </w:r>
    </w:p>
    <w:p>
      <w:pPr>
        <w:widowControl/>
        <w:spacing w:beforeLines="0" w:afterLines="0"/>
        <w:ind w:firstLine="11040" w:firstLineChars="4600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报价公章</w:t>
      </w:r>
    </w:p>
    <w:p>
      <w:pPr>
        <w:widowControl/>
        <w:spacing w:beforeLines="0" w:afterLines="0"/>
        <w:ind w:firstLine="10800" w:firstLineChars="4500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被委托人签名：</w:t>
      </w:r>
    </w:p>
    <w:p>
      <w:pPr>
        <w:spacing w:beforeLines="0" w:afterLines="0"/>
        <w:ind w:firstLine="10320" w:firstLineChars="4300"/>
        <w:rPr>
          <w:rFonts w:hint="default"/>
          <w:sz w:val="21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二〇二二年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五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日</w:t>
      </w:r>
    </w:p>
    <w:p>
      <w:pPr>
        <w:spacing w:beforeLines="0" w:afterLines="0"/>
        <w:rPr>
          <w:rFonts w:hint="default"/>
          <w:sz w:val="21"/>
          <w:szCs w:val="24"/>
        </w:rPr>
      </w:pPr>
    </w:p>
    <w:p/>
    <w:sectPr>
      <w:pgSz w:w="16838" w:h="11906" w:orient="landscape"/>
      <w:pgMar w:top="1236" w:right="1327" w:bottom="1236" w:left="1327" w:header="851" w:footer="992" w:gutter="0"/>
      <w:paperSrc/>
      <w:lnNumType w:countBy="0" w:distance="36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F0CE1"/>
    <w:multiLevelType w:val="multilevel"/>
    <w:tmpl w:val="91CF0CE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1D5782"/>
    <w:rsid w:val="131103EA"/>
    <w:rsid w:val="17C77A41"/>
    <w:rsid w:val="20841864"/>
    <w:rsid w:val="240C49BD"/>
    <w:rsid w:val="2F8A757C"/>
    <w:rsid w:val="439B3A24"/>
    <w:rsid w:val="4D790156"/>
    <w:rsid w:val="502A69DB"/>
    <w:rsid w:val="581D71E1"/>
    <w:rsid w:val="5B4D09DD"/>
    <w:rsid w:val="5B8F0C89"/>
    <w:rsid w:val="668F0CDE"/>
    <w:rsid w:val="6B7230A0"/>
    <w:rsid w:val="6DA94728"/>
    <w:rsid w:val="7FA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564</Characters>
  <Lines>1</Lines>
  <Paragraphs>1</Paragraphs>
  <TotalTime>18</TotalTime>
  <ScaleCrop>false</ScaleCrop>
  <LinksUpToDate>false</LinksUpToDate>
  <CharactersWithSpaces>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2022-05-04T07:05:00Z</dcterms:created>
  <dc:creator>陶其宝</dc:creator>
  <cp:lastModifiedBy>陶其宝</cp:lastModifiedBy>
  <dcterms:modified xsi:type="dcterms:W3CDTF">2022-05-04T07:53:33Z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7AB17904C5164634B49263D6F47C3AF2</vt:lpwstr>
  </property>
</Properties>
</file>